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9A6E1B" w:rsidRDefault="005A60D7" w:rsidP="009A6E1B">
      <w:pPr>
        <w:bidi/>
        <w:jc w:val="both"/>
        <w:rPr>
          <w:rFonts w:ascii="Noor_Badr" w:hAnsi="Noor_Badr" w:cs="Noor_Badr"/>
          <w:sz w:val="32"/>
          <w:szCs w:val="32"/>
          <w:rtl/>
          <w:lang w:bidi="fa-IR"/>
        </w:rPr>
      </w:pPr>
      <w:bookmarkStart w:id="0" w:name="_GoBack"/>
      <w:r w:rsidRPr="009A6E1B">
        <w:rPr>
          <w:rFonts w:ascii="Noor_Badr" w:hAnsi="Noor_Badr" w:cs="Noor_Badr"/>
          <w:sz w:val="32"/>
          <w:szCs w:val="32"/>
          <w:rtl/>
          <w:lang w:bidi="fa-IR"/>
        </w:rPr>
        <w:t>خارج اصول</w:t>
      </w:r>
      <w:r w:rsidR="000E6941" w:rsidRPr="009A6E1B">
        <w:rPr>
          <w:rFonts w:ascii="Noor_Badr" w:hAnsi="Noor_Badr" w:cs="Noor_Badr"/>
          <w:sz w:val="32"/>
          <w:szCs w:val="32"/>
          <w:rtl/>
          <w:lang w:bidi="fa-IR"/>
        </w:rPr>
        <w:t>-جلسه بیست و چهارم</w:t>
      </w:r>
      <w:r w:rsidRPr="009A6E1B">
        <w:rPr>
          <w:rFonts w:ascii="Noor_Badr" w:hAnsi="Noor_Badr" w:cs="Noor_Badr"/>
          <w:sz w:val="32"/>
          <w:szCs w:val="32"/>
          <w:rtl/>
          <w:lang w:bidi="fa-IR"/>
        </w:rPr>
        <w:t>-</w:t>
      </w:r>
      <w:r w:rsidR="000E6941" w:rsidRPr="009A6E1B">
        <w:rPr>
          <w:rFonts w:ascii="Noor_Badr" w:hAnsi="Noor_Badr" w:cs="Noor_Badr"/>
          <w:sz w:val="32"/>
          <w:szCs w:val="32"/>
          <w:rtl/>
          <w:lang w:bidi="fa-IR"/>
        </w:rPr>
        <w:t>یکشنبه 20/ 8/ 97</w:t>
      </w:r>
    </w:p>
    <w:p w:rsidR="000E6941" w:rsidRPr="009A6E1B" w:rsidRDefault="00434063"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أكثروا من الصلاة على نبيكم‏ إن الله و ملائكته يصلون على النبي‏ يا أيها الذين آمنوا صلوا عليه و سلموا تسليما صلى الله عليه و آله و سلم تسليما أيها الناس إنه لا شرف أعلى من الإسلام</w:t>
      </w:r>
    </w:p>
    <w:p w:rsidR="00434063" w:rsidRPr="009A6E1B" w:rsidRDefault="00434063"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w:t>
      </w:r>
    </w:p>
    <w:p w:rsidR="00434063" w:rsidRPr="009A6E1B" w:rsidRDefault="00434063"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خلاصه بحث اجزاء تا الان:</w:t>
      </w:r>
    </w:p>
    <w:p w:rsidR="00434063" w:rsidRPr="009A6E1B" w:rsidRDefault="00434063"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1-اتیان ماموربه واقعی اولی و ثانوی و ظاهری، هرکدام بالنسبة با امرخودش مجزی است.</w:t>
      </w:r>
    </w:p>
    <w:p w:rsidR="0032246D" w:rsidRPr="009A6E1B" w:rsidRDefault="00B53CA7"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2-اتیان ماموربه اضطراری بالنسبة</w:t>
      </w:r>
      <w:r w:rsidR="0032246D" w:rsidRPr="009A6E1B">
        <w:rPr>
          <w:rFonts w:ascii="Noor_Badr" w:hAnsi="Noor_Badr" w:cs="Noor_Badr"/>
          <w:sz w:val="32"/>
          <w:szCs w:val="32"/>
          <w:rtl/>
          <w:lang w:bidi="fa-IR"/>
        </w:rPr>
        <w:t xml:space="preserve"> با امر واقعی در سه مورد ثبوتا مجزی است:</w:t>
      </w:r>
    </w:p>
    <w:p w:rsidR="0032246D" w:rsidRPr="009A6E1B" w:rsidRDefault="0032246D"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1)ماموربه اضطراری از جهت مصلحت با ماموربه واقعی مساوی باشد.</w:t>
      </w:r>
    </w:p>
    <w:p w:rsidR="00F83BA2" w:rsidRPr="009A6E1B" w:rsidRDefault="00F83BA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2)مساوی نیست ولی امکان تدارک هم نباشد.</w:t>
      </w:r>
    </w:p>
    <w:p w:rsidR="00F83BA2" w:rsidRPr="009A6E1B" w:rsidRDefault="00F83BA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3)تدارک ممکن است ولی واجب نیست بلکه مستحب است.</w:t>
      </w:r>
    </w:p>
    <w:p w:rsidR="001D3C84" w:rsidRPr="009A6E1B" w:rsidRDefault="001D3C84" w:rsidP="009A6E1B">
      <w:pPr>
        <w:bidi/>
        <w:jc w:val="both"/>
        <w:rPr>
          <w:rFonts w:ascii="Noor_Badr" w:hAnsi="Noor_Badr" w:cs="Noor_Badr"/>
          <w:sz w:val="32"/>
          <w:szCs w:val="32"/>
          <w:rtl/>
          <w:lang w:bidi="fa-IR"/>
        </w:rPr>
      </w:pPr>
    </w:p>
    <w:p w:rsidR="00F83BA2" w:rsidRPr="009A6E1B" w:rsidRDefault="00896A9A"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3-اتیان ماموربه اضطراری در جایی که تدارک مصلحت واقعی ممکن است، مجزی نیست.</w:t>
      </w:r>
    </w:p>
    <w:p w:rsidR="00905EB4" w:rsidRPr="009A6E1B" w:rsidRDefault="001D3C84"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4-اتیان ماموربه اضطراری بحسب اضطرار دو قسم است:</w:t>
      </w:r>
    </w:p>
    <w:p w:rsidR="001D3C84" w:rsidRPr="009A6E1B" w:rsidRDefault="001D3C84"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 xml:space="preserve">1)رفع اضطرار در وقت </w:t>
      </w:r>
    </w:p>
    <w:p w:rsidR="001D3C84" w:rsidRPr="009A6E1B" w:rsidRDefault="001D3C84"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2)رفع اضطرار در خارج وقت</w:t>
      </w:r>
    </w:p>
    <w:p w:rsidR="004B39E0" w:rsidRPr="009A6E1B" w:rsidRDefault="004B39E0"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lastRenderedPageBreak/>
        <w:t>5-</w:t>
      </w:r>
      <w:r w:rsidR="00B53CA7" w:rsidRPr="009A6E1B">
        <w:rPr>
          <w:rFonts w:ascii="Noor_Badr" w:hAnsi="Noor_Badr" w:cs="Noor_Badr"/>
          <w:sz w:val="32"/>
          <w:szCs w:val="32"/>
          <w:rtl/>
          <w:lang w:bidi="fa-IR"/>
        </w:rPr>
        <w:t>رفع اضطرار در وقت اگر معلوم</w:t>
      </w:r>
      <w:r w:rsidRPr="009A6E1B">
        <w:rPr>
          <w:rFonts w:ascii="Noor_Badr" w:hAnsi="Noor_Badr" w:cs="Noor_Badr"/>
          <w:sz w:val="32"/>
          <w:szCs w:val="32"/>
          <w:rtl/>
          <w:lang w:bidi="fa-IR"/>
        </w:rPr>
        <w:t xml:space="preserve"> باشد، موضوع امر اضطراری از بین می رود و قول به اجزاء ثبوتا و اثباتا معنا ندارد زیرا در این صورت مکلف ملزم می شود به اتیان ماموربه طبق امر واقعی اولی.</w:t>
      </w:r>
    </w:p>
    <w:p w:rsidR="009B5661" w:rsidRPr="009A6E1B" w:rsidRDefault="009B5661"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6- آیه و روایات تیمم دلالت بر وجوب تیمم دارند با فرض عدم وجدان آب در تمام وقت؛ لذا اگر در مقداری از وقت آب موجود باشد، این مورد از آیات و روایات تخصصا خارج است.</w:t>
      </w:r>
    </w:p>
    <w:p w:rsidR="00584346" w:rsidRPr="009A6E1B" w:rsidRDefault="00584346"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7-رفع اضطرار در خارج وقت موجب تحقق موضوعی جدید غیر از ماموربه اضطراری شده و در نتیجه آیه و روایات دلالت بر اجزاء و عدم وجوب قضا دارد.</w:t>
      </w:r>
    </w:p>
    <w:p w:rsidR="00584346" w:rsidRPr="009A6E1B" w:rsidRDefault="00584346"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 xml:space="preserve">8-رفع اضطرار در خارج وقت ملازم با اجزاست بحسب </w:t>
      </w:r>
      <w:r w:rsidR="00A15666" w:rsidRPr="009A6E1B">
        <w:rPr>
          <w:rFonts w:ascii="Noor_Badr" w:hAnsi="Noor_Badr" w:cs="Noor_Badr"/>
          <w:sz w:val="32"/>
          <w:szCs w:val="32"/>
          <w:rtl/>
          <w:lang w:bidi="fa-IR"/>
        </w:rPr>
        <w:t>عالم اثبات و مطابق با ظاهر ادله شرعی.</w:t>
      </w:r>
    </w:p>
    <w:p w:rsidR="00356BF2" w:rsidRPr="009A6E1B" w:rsidRDefault="00356BF2" w:rsidP="009A6E1B">
      <w:pPr>
        <w:bidi/>
        <w:jc w:val="both"/>
        <w:rPr>
          <w:rFonts w:ascii="Noor_Badr" w:hAnsi="Noor_Badr" w:cs="Noor_Badr"/>
          <w:sz w:val="32"/>
          <w:szCs w:val="32"/>
          <w:rtl/>
          <w:lang w:bidi="fa-IR"/>
        </w:rPr>
      </w:pPr>
    </w:p>
    <w:p w:rsidR="00356BF2" w:rsidRPr="009A6E1B" w:rsidRDefault="00356BF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ادامه بحث اجزاء:</w:t>
      </w:r>
    </w:p>
    <w:p w:rsidR="00356BF2" w:rsidRPr="009A6E1B" w:rsidRDefault="00356BF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فرمایش مرحوم نائینی</w:t>
      </w:r>
      <w:r w:rsidR="00225234" w:rsidRPr="009A6E1B">
        <w:rPr>
          <w:rStyle w:val="FootnoteReference"/>
          <w:rFonts w:ascii="Noor_Badr" w:hAnsi="Noor_Badr" w:cs="Noor_Badr"/>
          <w:sz w:val="32"/>
          <w:szCs w:val="32"/>
          <w:rtl/>
          <w:lang w:bidi="fa-IR"/>
        </w:rPr>
        <w:footnoteReference w:id="1"/>
      </w:r>
      <w:r w:rsidRPr="009A6E1B">
        <w:rPr>
          <w:rFonts w:ascii="Noor_Badr" w:hAnsi="Noor_Badr" w:cs="Noor_Badr"/>
          <w:sz w:val="32"/>
          <w:szCs w:val="32"/>
          <w:rtl/>
          <w:lang w:bidi="fa-IR"/>
        </w:rPr>
        <w:t>: قید طهارت مائیة از دو حالت خارج نیست:</w:t>
      </w:r>
    </w:p>
    <w:p w:rsidR="00356BF2" w:rsidRPr="009A6E1B" w:rsidRDefault="00356BF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1-رکن نماز محسوب شود که مکلف در حال تمکن و عدم تمکن باید آن را لحاظ کند.</w:t>
      </w:r>
    </w:p>
    <w:p w:rsidR="00356BF2" w:rsidRPr="009A6E1B" w:rsidRDefault="00356BF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2-رکن محسوب نشودو فقط در حال تمکن باید لحاظ شود.</w:t>
      </w:r>
    </w:p>
    <w:p w:rsidR="00356BF2" w:rsidRPr="009A6E1B" w:rsidRDefault="00356BF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اگر حالت اول باشد، معقول نیست که نماز با تیمم ماموربه باشد بلکه نماز</w:t>
      </w:r>
      <w:r w:rsidR="00DC2B52" w:rsidRPr="009A6E1B">
        <w:rPr>
          <w:rFonts w:ascii="Noor_Badr" w:hAnsi="Noor_Badr" w:cs="Noor_Badr"/>
          <w:sz w:val="32"/>
          <w:szCs w:val="32"/>
          <w:rtl/>
          <w:lang w:bidi="fa-IR"/>
        </w:rPr>
        <w:t>،</w:t>
      </w:r>
      <w:r w:rsidRPr="009A6E1B">
        <w:rPr>
          <w:rFonts w:ascii="Noor_Badr" w:hAnsi="Noor_Badr" w:cs="Noor_Badr"/>
          <w:sz w:val="32"/>
          <w:szCs w:val="32"/>
          <w:rtl/>
          <w:lang w:bidi="fa-IR"/>
        </w:rPr>
        <w:t xml:space="preserve"> حکم فاقد طهور را دارد زیرا نماز بدون وضو نماز نیست لکن از ادله شرعی استفاده می شود که نماز بدون طهارت مائیه ماموربه است لذا می توان گفت که وضو رکن نیست و از طرفی نماز با تیمم ملاک و مصلحت دارد که توسط آن مصلحت نماز مطلوب شارع محقق می شود.</w:t>
      </w:r>
    </w:p>
    <w:p w:rsidR="00356BF2" w:rsidRPr="009A6E1B" w:rsidRDefault="00356BF2" w:rsidP="009A6E1B">
      <w:pPr>
        <w:bidi/>
        <w:jc w:val="both"/>
        <w:rPr>
          <w:rFonts w:ascii="Noor_Badr" w:hAnsi="Noor_Badr" w:cs="Noor_Badr"/>
          <w:sz w:val="32"/>
          <w:szCs w:val="32"/>
          <w:rtl/>
          <w:lang w:bidi="fa-IR"/>
        </w:rPr>
      </w:pPr>
      <w:r w:rsidRPr="009A6E1B">
        <w:rPr>
          <w:rFonts w:ascii="Noor_Badr" w:hAnsi="Noor_Badr" w:cs="Noor_Badr"/>
          <w:sz w:val="32"/>
          <w:szCs w:val="32"/>
          <w:rtl/>
          <w:lang w:bidi="fa-IR"/>
        </w:rPr>
        <w:t>در نتیجه نماز با تیمم یا ب</w:t>
      </w:r>
      <w:r w:rsidR="00241503" w:rsidRPr="009A6E1B">
        <w:rPr>
          <w:rFonts w:ascii="Noor_Badr" w:hAnsi="Noor_Badr" w:cs="Noor_Badr"/>
          <w:sz w:val="32"/>
          <w:szCs w:val="32"/>
          <w:rtl/>
          <w:lang w:bidi="fa-IR"/>
        </w:rPr>
        <w:t>ا</w:t>
      </w:r>
      <w:r w:rsidRPr="009A6E1B">
        <w:rPr>
          <w:rFonts w:ascii="Noor_Badr" w:hAnsi="Noor_Badr" w:cs="Noor_Badr"/>
          <w:sz w:val="32"/>
          <w:szCs w:val="32"/>
          <w:rtl/>
          <w:lang w:bidi="fa-IR"/>
        </w:rPr>
        <w:t xml:space="preserve"> نماز با وضو</w:t>
      </w:r>
      <w:r w:rsidR="00241503" w:rsidRPr="009A6E1B">
        <w:rPr>
          <w:rFonts w:ascii="Noor_Badr" w:hAnsi="Noor_Badr" w:cs="Noor_Badr"/>
          <w:sz w:val="32"/>
          <w:szCs w:val="32"/>
          <w:rtl/>
          <w:lang w:bidi="fa-IR"/>
        </w:rPr>
        <w:t xml:space="preserve"> در فرض تمکن برابر است یا مصلحت کمتری دارد؛ در صورت اول اشکالی در اجزاء آن نیست.اما در صورت دوم اگر باقیمانده مصلحت قابل تدارک نباشد، باز هم مجزی است زیرا نماز با وضو در وقت</w:t>
      </w:r>
      <w:r w:rsidR="00845950" w:rsidRPr="009A6E1B">
        <w:rPr>
          <w:rFonts w:ascii="Noor_Badr" w:hAnsi="Noor_Badr" w:cs="Noor_Badr"/>
          <w:sz w:val="32"/>
          <w:szCs w:val="32"/>
          <w:rtl/>
          <w:lang w:bidi="fa-IR"/>
        </w:rPr>
        <w:t>،</w:t>
      </w:r>
      <w:r w:rsidR="00241503" w:rsidRPr="009A6E1B">
        <w:rPr>
          <w:rFonts w:ascii="Noor_Badr" w:hAnsi="Noor_Badr" w:cs="Noor_Badr"/>
          <w:sz w:val="32"/>
          <w:szCs w:val="32"/>
          <w:rtl/>
          <w:lang w:bidi="fa-IR"/>
        </w:rPr>
        <w:t xml:space="preserve"> فوت شده و نمی توان آن را با آن خصوصیت اتیان کرد واگر بگوییم </w:t>
      </w:r>
      <w:r w:rsidR="008C48D2" w:rsidRPr="009A6E1B">
        <w:rPr>
          <w:rFonts w:ascii="Noor_Badr" w:hAnsi="Noor_Badr" w:cs="Noor_Badr"/>
          <w:sz w:val="32"/>
          <w:szCs w:val="32"/>
          <w:rtl/>
          <w:lang w:bidi="fa-IR"/>
        </w:rPr>
        <w:t xml:space="preserve">هم نماز با تیمم در وقت و هم </w:t>
      </w:r>
      <w:r w:rsidR="00241503" w:rsidRPr="009A6E1B">
        <w:rPr>
          <w:rFonts w:ascii="Noor_Badr" w:hAnsi="Noor_Badr" w:cs="Noor_Badr"/>
          <w:sz w:val="32"/>
          <w:szCs w:val="32"/>
          <w:rtl/>
          <w:lang w:bidi="fa-IR"/>
        </w:rPr>
        <w:t>قضا واجب است</w:t>
      </w:r>
      <w:r w:rsidR="008C48D2" w:rsidRPr="009A6E1B">
        <w:rPr>
          <w:rFonts w:ascii="Noor_Badr" w:hAnsi="Noor_Badr" w:cs="Noor_Badr"/>
          <w:sz w:val="32"/>
          <w:szCs w:val="32"/>
          <w:rtl/>
          <w:lang w:bidi="fa-IR"/>
        </w:rPr>
        <w:t>، این مستلزم اجتماع نقیضین است زیرا معنایش این است که نماز با تیمم در وقت هم امر دارد و مجزی است و هم امر ندارد و مجزی نیست.</w:t>
      </w:r>
    </w:p>
    <w:p w:rsidR="00845950" w:rsidRPr="009A6E1B" w:rsidRDefault="00845950" w:rsidP="009A6E1B">
      <w:pPr>
        <w:bidi/>
        <w:jc w:val="both"/>
        <w:rPr>
          <w:rFonts w:ascii="Noor_Badr" w:hAnsi="Noor_Badr" w:cs="Noor_Badr"/>
          <w:sz w:val="32"/>
          <w:szCs w:val="32"/>
          <w:lang w:bidi="fa-IR"/>
        </w:rPr>
      </w:pPr>
      <w:r w:rsidRPr="009A6E1B">
        <w:rPr>
          <w:rFonts w:ascii="Noor_Badr" w:hAnsi="Noor_Badr" w:cs="Noor_Badr"/>
          <w:sz w:val="32"/>
          <w:szCs w:val="32"/>
          <w:rtl/>
          <w:lang w:bidi="fa-IR"/>
        </w:rPr>
        <w:t>(پایان)</w:t>
      </w:r>
      <w:bookmarkEnd w:id="0"/>
    </w:p>
    <w:sectPr w:rsidR="00845950" w:rsidRPr="009A6E1B" w:rsidSect="009A6E1B">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E5F" w:rsidRDefault="00F27E5F" w:rsidP="00225234">
      <w:pPr>
        <w:spacing w:after="0" w:line="240" w:lineRule="auto"/>
      </w:pPr>
      <w:r>
        <w:separator/>
      </w:r>
    </w:p>
  </w:endnote>
  <w:endnote w:type="continuationSeparator" w:id="0">
    <w:p w:rsidR="00F27E5F" w:rsidRDefault="00F27E5F" w:rsidP="00225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E5F" w:rsidRDefault="00F27E5F" w:rsidP="00225234">
      <w:pPr>
        <w:spacing w:after="0" w:line="240" w:lineRule="auto"/>
      </w:pPr>
      <w:r>
        <w:separator/>
      </w:r>
    </w:p>
  </w:footnote>
  <w:footnote w:type="continuationSeparator" w:id="0">
    <w:p w:rsidR="00F27E5F" w:rsidRDefault="00F27E5F" w:rsidP="00225234">
      <w:pPr>
        <w:spacing w:after="0" w:line="240" w:lineRule="auto"/>
      </w:pPr>
      <w:r>
        <w:continuationSeparator/>
      </w:r>
    </w:p>
  </w:footnote>
  <w:footnote w:id="1">
    <w:p w:rsidR="00225234" w:rsidRPr="00225234" w:rsidRDefault="00225234" w:rsidP="00225234">
      <w:pPr>
        <w:pStyle w:val="FootnoteText"/>
        <w:rPr>
          <w:sz w:val="24"/>
          <w:szCs w:val="24"/>
        </w:rPr>
      </w:pPr>
      <w:r w:rsidRPr="00225234">
        <w:rPr>
          <w:rStyle w:val="FootnoteReference"/>
          <w:sz w:val="24"/>
          <w:szCs w:val="24"/>
        </w:rPr>
        <w:footnoteRef/>
      </w:r>
      <w:r w:rsidRPr="00225234">
        <w:rPr>
          <w:sz w:val="24"/>
          <w:szCs w:val="24"/>
        </w:rPr>
        <w:t xml:space="preserve"> </w:t>
      </w:r>
      <w:r w:rsidRPr="00225234">
        <w:rPr>
          <w:rFonts w:hint="cs"/>
          <w:sz w:val="24"/>
          <w:szCs w:val="24"/>
          <w:rtl/>
          <w:lang w:bidi="fa-IR"/>
        </w:rPr>
        <w:t>فوائد الاصول، ج‏1، ص: 244</w:t>
      </w:r>
      <w:r w:rsidR="00EE3450">
        <w:rPr>
          <w:rFonts w:hint="cs"/>
          <w:sz w:val="24"/>
          <w:szCs w:val="24"/>
          <w:rtl/>
          <w:lang w:bidi="fa-IR"/>
        </w:rPr>
        <w:t xml:space="preserve"> نرم افزار نور.</w:t>
      </w:r>
      <w:r w:rsidR="00EE3450">
        <w:rPr>
          <w:sz w:val="24"/>
          <w:szCs w:val="24"/>
          <w:lang w:bidi="fa-IR"/>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0D7"/>
    <w:rsid w:val="000E6941"/>
    <w:rsid w:val="001D3C84"/>
    <w:rsid w:val="00225234"/>
    <w:rsid w:val="00241503"/>
    <w:rsid w:val="002B255F"/>
    <w:rsid w:val="0032246D"/>
    <w:rsid w:val="00356BF2"/>
    <w:rsid w:val="00434063"/>
    <w:rsid w:val="0046020D"/>
    <w:rsid w:val="004B39E0"/>
    <w:rsid w:val="00584346"/>
    <w:rsid w:val="005A60D7"/>
    <w:rsid w:val="005C7205"/>
    <w:rsid w:val="00785C24"/>
    <w:rsid w:val="00845950"/>
    <w:rsid w:val="00896A9A"/>
    <w:rsid w:val="008C48D2"/>
    <w:rsid w:val="00905EB4"/>
    <w:rsid w:val="009A6E1B"/>
    <w:rsid w:val="009B5661"/>
    <w:rsid w:val="00A15666"/>
    <w:rsid w:val="00B53CA7"/>
    <w:rsid w:val="00DC2B52"/>
    <w:rsid w:val="00EE3450"/>
    <w:rsid w:val="00F27E5F"/>
    <w:rsid w:val="00F8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252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5234"/>
    <w:rPr>
      <w:sz w:val="20"/>
      <w:szCs w:val="20"/>
    </w:rPr>
  </w:style>
  <w:style w:type="character" w:styleId="FootnoteReference">
    <w:name w:val="footnote reference"/>
    <w:basedOn w:val="DefaultParagraphFont"/>
    <w:uiPriority w:val="99"/>
    <w:semiHidden/>
    <w:unhideWhenUsed/>
    <w:rsid w:val="00225234"/>
    <w:rPr>
      <w:vertAlign w:val="superscript"/>
    </w:rPr>
  </w:style>
  <w:style w:type="paragraph" w:styleId="NormalWeb">
    <w:name w:val="Normal (Web)"/>
    <w:basedOn w:val="Normal"/>
    <w:uiPriority w:val="99"/>
    <w:semiHidden/>
    <w:unhideWhenUsed/>
    <w:rsid w:val="00225234"/>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252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5234"/>
    <w:rPr>
      <w:sz w:val="20"/>
      <w:szCs w:val="20"/>
    </w:rPr>
  </w:style>
  <w:style w:type="character" w:styleId="FootnoteReference">
    <w:name w:val="footnote reference"/>
    <w:basedOn w:val="DefaultParagraphFont"/>
    <w:uiPriority w:val="99"/>
    <w:semiHidden/>
    <w:unhideWhenUsed/>
    <w:rsid w:val="00225234"/>
    <w:rPr>
      <w:vertAlign w:val="superscript"/>
    </w:rPr>
  </w:style>
  <w:style w:type="paragraph" w:styleId="NormalWeb">
    <w:name w:val="Normal (Web)"/>
    <w:basedOn w:val="Normal"/>
    <w:uiPriority w:val="99"/>
    <w:semiHidden/>
    <w:unhideWhenUsed/>
    <w:rsid w:val="0022523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74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19</cp:revision>
  <dcterms:created xsi:type="dcterms:W3CDTF">2018-12-03T02:11:00Z</dcterms:created>
  <dcterms:modified xsi:type="dcterms:W3CDTF">2020-08-23T04:01:00Z</dcterms:modified>
</cp:coreProperties>
</file>